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3EC1D4"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079ECC58"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7211F5C7"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360EBAC5"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6E1FEB8F"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3776239C" w14:textId="36B214F4" w:rsidR="0046661F" w:rsidRPr="008F2E6F" w:rsidRDefault="0046661F"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r w:rsidRPr="008F2E6F">
        <w:rPr>
          <w:rFonts w:ascii="Times New Roman" w:eastAsia="Times New Roman" w:hAnsi="Times New Roman" w:cs="Times New Roman"/>
          <w:color w:val="414141"/>
          <w:sz w:val="24"/>
          <w:szCs w:val="24"/>
        </w:rPr>
        <w:t>Capital Market Securities and Financial Crises</w:t>
      </w:r>
    </w:p>
    <w:p w14:paraId="10BBB1F7" w14:textId="570985A1" w:rsidR="008F2E6F" w:rsidRPr="008F2E6F" w:rsidRDefault="008F2E6F"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r w:rsidRPr="008F2E6F">
        <w:rPr>
          <w:rFonts w:ascii="Times New Roman" w:eastAsia="Times New Roman" w:hAnsi="Times New Roman" w:cs="Times New Roman"/>
          <w:color w:val="414141"/>
          <w:sz w:val="24"/>
          <w:szCs w:val="24"/>
        </w:rPr>
        <w:t>Name</w:t>
      </w:r>
    </w:p>
    <w:p w14:paraId="22F4446F" w14:textId="087462C6" w:rsidR="008F2E6F" w:rsidRPr="008F2E6F" w:rsidRDefault="008F2E6F"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r w:rsidRPr="008F2E6F">
        <w:rPr>
          <w:rFonts w:ascii="Times New Roman" w:eastAsia="Times New Roman" w:hAnsi="Times New Roman" w:cs="Times New Roman"/>
          <w:color w:val="414141"/>
          <w:sz w:val="24"/>
          <w:szCs w:val="24"/>
        </w:rPr>
        <w:t>Institution</w:t>
      </w:r>
    </w:p>
    <w:p w14:paraId="5E3178C1" w14:textId="73FE07DD" w:rsidR="008F2E6F" w:rsidRPr="008F2E6F" w:rsidRDefault="008F2E6F"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r w:rsidRPr="008F2E6F">
        <w:rPr>
          <w:rFonts w:ascii="Times New Roman" w:eastAsia="Times New Roman" w:hAnsi="Times New Roman" w:cs="Times New Roman"/>
          <w:color w:val="414141"/>
          <w:sz w:val="24"/>
          <w:szCs w:val="24"/>
        </w:rPr>
        <w:t>Date</w:t>
      </w:r>
    </w:p>
    <w:p w14:paraId="599CBE8A"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6D469C0E"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48DDC2D1"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7E879DD2"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33BE6F96"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2BCB8F5B"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3B4762F0" w14:textId="77777777" w:rsidR="009F684B" w:rsidRDefault="009F684B"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13F3BBB2" w14:textId="77777777" w:rsidR="008F2E6F" w:rsidRPr="008F2E6F" w:rsidRDefault="008F2E6F" w:rsidP="008F2E6F">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r w:rsidRPr="008F2E6F">
        <w:rPr>
          <w:rFonts w:ascii="Times New Roman" w:eastAsia="Times New Roman" w:hAnsi="Times New Roman" w:cs="Times New Roman"/>
          <w:color w:val="414141"/>
          <w:sz w:val="24"/>
          <w:szCs w:val="24"/>
        </w:rPr>
        <w:lastRenderedPageBreak/>
        <w:t>Capital Market Securities and Financial Crises</w:t>
      </w:r>
    </w:p>
    <w:p w14:paraId="046BADDF" w14:textId="77777777" w:rsidR="008E1D18" w:rsidRPr="001C6F02" w:rsidRDefault="008E1D18" w:rsidP="001C6F02">
      <w:pPr>
        <w:shd w:val="clear" w:color="auto" w:fill="FFFFFF"/>
        <w:spacing w:before="100" w:beforeAutospacing="1" w:after="100" w:afterAutospacing="1" w:line="480" w:lineRule="auto"/>
        <w:ind w:firstLine="720"/>
        <w:jc w:val="center"/>
        <w:rPr>
          <w:rFonts w:ascii="Times New Roman" w:eastAsia="Times New Roman" w:hAnsi="Times New Roman" w:cs="Times New Roman"/>
          <w:b/>
          <w:color w:val="414141"/>
          <w:sz w:val="24"/>
          <w:szCs w:val="24"/>
        </w:rPr>
      </w:pPr>
      <w:r w:rsidRPr="001C6F02">
        <w:rPr>
          <w:rFonts w:ascii="Times New Roman" w:eastAsia="Times New Roman" w:hAnsi="Times New Roman" w:cs="Times New Roman"/>
          <w:b/>
          <w:color w:val="414141"/>
          <w:sz w:val="24"/>
          <w:szCs w:val="24"/>
        </w:rPr>
        <w:t>Question 1(a). What is the purpose of the capital market?</w:t>
      </w:r>
    </w:p>
    <w:p w14:paraId="31F9F22B"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 xml:space="preserve">     A capital market is a financial system characterized by the issuance, acquisition, and resale of relatively long-term financial instruments. The notable financial instruments include equity, mutual funds, and debt securities (Madura, 2012). The capital market in an economy serves two fundamental purposes that relate to the intermediation role because it links the investors holding the capital with the deficit units who exchange equity and debt instruments with the former. Secondly, the capital market provides both the primary and secondary markets. The primary market provides a point of contact that involves the deficit parties, which include corporate organizations and government institutions, and the surplus economic agents (</w:t>
      </w:r>
      <w:proofErr w:type="spellStart"/>
      <w:r w:rsidRPr="008E1D18">
        <w:rPr>
          <w:rFonts w:ascii="Times New Roman" w:eastAsia="Times New Roman" w:hAnsi="Times New Roman" w:cs="Times New Roman"/>
          <w:color w:val="414141"/>
          <w:sz w:val="24"/>
          <w:szCs w:val="24"/>
        </w:rPr>
        <w:t>Sofat</w:t>
      </w:r>
      <w:proofErr w:type="spellEnd"/>
      <w:r w:rsidRPr="008E1D18">
        <w:rPr>
          <w:rFonts w:ascii="Times New Roman" w:eastAsia="Times New Roman" w:hAnsi="Times New Roman" w:cs="Times New Roman"/>
          <w:color w:val="414141"/>
          <w:sz w:val="24"/>
          <w:szCs w:val="24"/>
        </w:rPr>
        <w:t xml:space="preserve">, 2016). On the other hand, the secondary market sustains the investors’ speculative gains because it creates liquidity that is necessary to enable the exchange of the acquired instruments in the primary market (Madura, 2012). Overall, risk sharing, funding, and resource allocations are prominent achievements of the capital market system that further help to reduce the cost of business. </w:t>
      </w:r>
    </w:p>
    <w:p w14:paraId="5CCC3143" w14:textId="77777777" w:rsidR="008E1D18" w:rsidRPr="001C6F02" w:rsidRDefault="008E1D18" w:rsidP="001C6F02">
      <w:pPr>
        <w:shd w:val="clear" w:color="auto" w:fill="FFFFFF"/>
        <w:spacing w:before="100" w:beforeAutospacing="1" w:after="100" w:afterAutospacing="1" w:line="480" w:lineRule="auto"/>
        <w:ind w:firstLine="720"/>
        <w:jc w:val="center"/>
        <w:rPr>
          <w:rFonts w:ascii="Times New Roman" w:eastAsia="Times New Roman" w:hAnsi="Times New Roman" w:cs="Times New Roman"/>
          <w:b/>
          <w:color w:val="414141"/>
          <w:sz w:val="24"/>
          <w:szCs w:val="24"/>
        </w:rPr>
      </w:pPr>
      <w:r w:rsidRPr="001C6F02">
        <w:rPr>
          <w:rFonts w:ascii="Times New Roman" w:eastAsia="Times New Roman" w:hAnsi="Times New Roman" w:cs="Times New Roman"/>
          <w:b/>
          <w:color w:val="414141"/>
          <w:sz w:val="24"/>
          <w:szCs w:val="24"/>
        </w:rPr>
        <w:t>Question 1(b). How do capital market securities differ from money market securities in their general characteristics?</w:t>
      </w:r>
    </w:p>
    <w:p w14:paraId="208AC8C9"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 xml:space="preserve">    The money-market security relates to a financial system characterized by the issuance of short-term debt instruments. The prominent debt instruments include bond facility, debenture, certificate of deposit, Bill of Payment, and other commercial-based products (</w:t>
      </w:r>
      <w:proofErr w:type="spellStart"/>
      <w:r w:rsidRPr="008E1D18">
        <w:rPr>
          <w:rFonts w:ascii="Times New Roman" w:eastAsia="Times New Roman" w:hAnsi="Times New Roman" w:cs="Times New Roman"/>
          <w:color w:val="414141"/>
          <w:sz w:val="24"/>
          <w:szCs w:val="24"/>
        </w:rPr>
        <w:t>Sofat</w:t>
      </w:r>
      <w:proofErr w:type="spellEnd"/>
      <w:r w:rsidRPr="008E1D18">
        <w:rPr>
          <w:rFonts w:ascii="Times New Roman" w:eastAsia="Times New Roman" w:hAnsi="Times New Roman" w:cs="Times New Roman"/>
          <w:color w:val="414141"/>
          <w:sz w:val="24"/>
          <w:szCs w:val="24"/>
        </w:rPr>
        <w:t xml:space="preserve">, 2016). Other </w:t>
      </w:r>
      <w:r w:rsidRPr="008E1D18">
        <w:rPr>
          <w:rFonts w:ascii="Times New Roman" w:eastAsia="Times New Roman" w:hAnsi="Times New Roman" w:cs="Times New Roman"/>
          <w:color w:val="414141"/>
          <w:sz w:val="24"/>
          <w:szCs w:val="24"/>
        </w:rPr>
        <w:lastRenderedPageBreak/>
        <w:t>profound differences between money market and capital market system concern to the risk management, resource allocation efficiency, and economic-inducing role.</w:t>
      </w:r>
    </w:p>
    <w:p w14:paraId="07457AA6"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 xml:space="preserve">First, the money market system allows the investor to undertake a risk-return trade-off technique to maximize the investment decision (Madura, 2012). Conversely, the capital market provides diversification to facilitate the investor increase the range of portfolio and hedge against financial losses from the low-risk return investment. </w:t>
      </w:r>
    </w:p>
    <w:p w14:paraId="0F7EEB8E"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 xml:space="preserve">Secondly, the resource allocation efficiency in the capital market system </w:t>
      </w:r>
      <w:proofErr w:type="gramStart"/>
      <w:r w:rsidRPr="008E1D18">
        <w:rPr>
          <w:rFonts w:ascii="Times New Roman" w:eastAsia="Times New Roman" w:hAnsi="Times New Roman" w:cs="Times New Roman"/>
          <w:color w:val="414141"/>
          <w:sz w:val="24"/>
          <w:szCs w:val="24"/>
        </w:rPr>
        <w:t>is achieved</w:t>
      </w:r>
      <w:proofErr w:type="gramEnd"/>
      <w:r w:rsidRPr="008E1D18">
        <w:rPr>
          <w:rFonts w:ascii="Times New Roman" w:eastAsia="Times New Roman" w:hAnsi="Times New Roman" w:cs="Times New Roman"/>
          <w:color w:val="414141"/>
          <w:sz w:val="24"/>
          <w:szCs w:val="24"/>
        </w:rPr>
        <w:t xml:space="preserve"> using the primary and secondary markets interactions. Therefore, the high number of economic agents in the primary market influences the demand and supply parameters in the market (</w:t>
      </w:r>
      <w:proofErr w:type="spellStart"/>
      <w:r w:rsidRPr="008E1D18">
        <w:rPr>
          <w:rFonts w:ascii="Times New Roman" w:eastAsia="Times New Roman" w:hAnsi="Times New Roman" w:cs="Times New Roman"/>
          <w:color w:val="414141"/>
          <w:sz w:val="24"/>
          <w:szCs w:val="24"/>
        </w:rPr>
        <w:t>Sofat</w:t>
      </w:r>
      <w:proofErr w:type="spellEnd"/>
      <w:r w:rsidRPr="008E1D18">
        <w:rPr>
          <w:rFonts w:ascii="Times New Roman" w:eastAsia="Times New Roman" w:hAnsi="Times New Roman" w:cs="Times New Roman"/>
          <w:color w:val="414141"/>
          <w:sz w:val="24"/>
          <w:szCs w:val="24"/>
        </w:rPr>
        <w:t xml:space="preserve">, 2016). On the other hand, the perfectly competitive nature of the money market system facilitates resource-allocation efficiency because of the minimal interference from the external factors (ibid). The collusion incidences to influence the market price are limited in the money market, which facilitates adequate economic growth stimulation. </w:t>
      </w:r>
    </w:p>
    <w:p w14:paraId="131F5160" w14:textId="77777777" w:rsidR="008E1D18" w:rsidRPr="001C6F02" w:rsidRDefault="008E1D18" w:rsidP="001C6F02">
      <w:pPr>
        <w:shd w:val="clear" w:color="auto" w:fill="FFFFFF"/>
        <w:spacing w:before="100" w:beforeAutospacing="1" w:after="100" w:afterAutospacing="1" w:line="480" w:lineRule="auto"/>
        <w:ind w:firstLine="720"/>
        <w:jc w:val="center"/>
        <w:rPr>
          <w:rFonts w:ascii="Times New Roman" w:eastAsia="Times New Roman" w:hAnsi="Times New Roman" w:cs="Times New Roman"/>
          <w:b/>
          <w:color w:val="414141"/>
          <w:sz w:val="24"/>
          <w:szCs w:val="24"/>
        </w:rPr>
      </w:pPr>
      <w:r w:rsidRPr="001C6F02">
        <w:rPr>
          <w:rFonts w:ascii="Times New Roman" w:eastAsia="Times New Roman" w:hAnsi="Times New Roman" w:cs="Times New Roman"/>
          <w:b/>
          <w:color w:val="414141"/>
          <w:sz w:val="24"/>
          <w:szCs w:val="24"/>
        </w:rPr>
        <w:t>Question 2: Using the Gordon growth model, explain why the 2001 terrorist attacks and the Enron financial scandal caused stock prices to decline</w:t>
      </w:r>
    </w:p>
    <w:p w14:paraId="3381787D"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 xml:space="preserve">    The Gordon Growth Model is a popular scheme that facilitates the investors to compute the intrinsic value of the current stock portfolio because it assesses the dividend growth rate to influence investment decision (</w:t>
      </w:r>
      <w:proofErr w:type="spellStart"/>
      <w:r w:rsidRPr="008E1D18">
        <w:rPr>
          <w:rFonts w:ascii="Times New Roman" w:eastAsia="Times New Roman" w:hAnsi="Times New Roman" w:cs="Times New Roman"/>
          <w:color w:val="414141"/>
          <w:sz w:val="24"/>
          <w:szCs w:val="24"/>
        </w:rPr>
        <w:t>Mishkin</w:t>
      </w:r>
      <w:proofErr w:type="spellEnd"/>
      <w:r w:rsidRPr="008E1D18">
        <w:rPr>
          <w:rFonts w:ascii="Times New Roman" w:eastAsia="Times New Roman" w:hAnsi="Times New Roman" w:cs="Times New Roman"/>
          <w:color w:val="414141"/>
          <w:sz w:val="24"/>
          <w:szCs w:val="24"/>
        </w:rPr>
        <w:t xml:space="preserve">, 2010). The three type of data utilized includes present dividend payout divided by the difference between the forecasted growth rate and stakeholders’ expected rate of return. </w:t>
      </w:r>
    </w:p>
    <w:p w14:paraId="6CE45AFA" w14:textId="77777777" w:rsidR="00B635D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 xml:space="preserve">Mathematics representation of Gordon Growth Model; </w:t>
      </w:r>
    </w:p>
    <w:p w14:paraId="35F79ADC" w14:textId="592B364C" w:rsidR="00B635D8" w:rsidRDefault="00B635D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m:oMathPara>
        <m:oMath>
          <m:r>
            <w:rPr>
              <w:rFonts w:ascii="Cambria Math" w:eastAsia="Times New Roman" w:hAnsi="Cambria Math" w:cs="Times New Roman"/>
              <w:color w:val="414141"/>
              <w:sz w:val="24"/>
              <w:szCs w:val="24"/>
            </w:rPr>
            <w:lastRenderedPageBreak/>
            <m:t>Intrinsic stock value=</m:t>
          </m:r>
          <m:f>
            <m:fPr>
              <m:ctrlPr>
                <w:rPr>
                  <w:rFonts w:ascii="Cambria Math" w:eastAsia="Times New Roman" w:hAnsi="Cambria Math" w:cs="Times New Roman"/>
                  <w:i/>
                  <w:color w:val="414141"/>
                  <w:sz w:val="24"/>
                  <w:szCs w:val="24"/>
                </w:rPr>
              </m:ctrlPr>
            </m:fPr>
            <m:num>
              <m:r>
                <w:rPr>
                  <w:rFonts w:ascii="Cambria Math" w:eastAsia="Times New Roman" w:hAnsi="Cambria Math" w:cs="Times New Roman"/>
                  <w:color w:val="414141"/>
                  <w:sz w:val="24"/>
                  <w:szCs w:val="24"/>
                </w:rPr>
                <m:t>present dividend payout</m:t>
              </m:r>
              <m:r>
                <w:rPr>
                  <w:rFonts w:ascii="Cambria Math" w:eastAsia="Times New Roman" w:hAnsi="Cambria Math" w:cs="Times New Roman"/>
                  <w:color w:val="414141"/>
                  <w:sz w:val="24"/>
                  <w:szCs w:val="24"/>
                </w:rPr>
                <m:t>(D)</m:t>
              </m:r>
            </m:num>
            <m:den>
              <m:r>
                <w:rPr>
                  <w:rFonts w:ascii="Cambria Math" w:eastAsia="Times New Roman" w:hAnsi="Cambria Math" w:cs="Times New Roman"/>
                  <w:color w:val="414141"/>
                  <w:sz w:val="24"/>
                  <w:szCs w:val="24"/>
                </w:rPr>
                <m:t>rate of return</m:t>
              </m:r>
              <m:r>
                <w:rPr>
                  <w:rFonts w:ascii="Cambria Math" w:eastAsia="Times New Roman" w:hAnsi="Cambria Math" w:cs="Times New Roman"/>
                  <w:color w:val="414141"/>
                  <w:sz w:val="24"/>
                  <w:szCs w:val="24"/>
                </w:rPr>
                <m:t>(Ke)</m:t>
              </m:r>
              <m:r>
                <w:rPr>
                  <w:rFonts w:ascii="Cambria Math" w:eastAsia="Times New Roman" w:hAnsi="Cambria Math" w:cs="Times New Roman"/>
                  <w:color w:val="414141"/>
                  <w:sz w:val="24"/>
                  <w:szCs w:val="24"/>
                </w:rPr>
                <m:t>-forecasted dividend growth rate</m:t>
              </m:r>
              <m:r>
                <w:rPr>
                  <w:rFonts w:ascii="Cambria Math" w:eastAsia="Times New Roman" w:hAnsi="Cambria Math" w:cs="Times New Roman"/>
                  <w:color w:val="414141"/>
                  <w:sz w:val="24"/>
                  <w:szCs w:val="24"/>
                </w:rPr>
                <m:t>(g)</m:t>
              </m:r>
              <m:r>
                <w:rPr>
                  <w:rFonts w:ascii="Cambria Math" w:eastAsia="Times New Roman" w:hAnsi="Cambria Math" w:cs="Times New Roman"/>
                  <w:color w:val="414141"/>
                  <w:sz w:val="24"/>
                  <w:szCs w:val="24"/>
                </w:rPr>
                <m:t xml:space="preserve"> </m:t>
              </m:r>
            </m:den>
          </m:f>
        </m:oMath>
      </m:oMathPara>
    </w:p>
    <w:p w14:paraId="30C22665"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 xml:space="preserve">Further, the Gordon Growth Model entails pertinent assumptions that include a stable business model for the invested company, stable business growth rate, no plough-back of the free cash flow, and steady dividend growth. </w:t>
      </w:r>
    </w:p>
    <w:p w14:paraId="2347AEF5"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Evidently, the Gordon Growth Model reveals the effects of the 2001 terror attack and the Enron scandal in the U.S. stock market. First, the September 11 attack on the World Trade Centre led to the shutdown of the NY Stock Exchange because of the continued fear numerous terrorism-related attacks in the U.S (</w:t>
      </w:r>
      <w:proofErr w:type="spellStart"/>
      <w:r w:rsidRPr="008E1D18">
        <w:rPr>
          <w:rFonts w:ascii="Times New Roman" w:eastAsia="Times New Roman" w:hAnsi="Times New Roman" w:cs="Times New Roman"/>
          <w:color w:val="414141"/>
          <w:sz w:val="24"/>
          <w:szCs w:val="24"/>
        </w:rPr>
        <w:t>Mishkin</w:t>
      </w:r>
      <w:proofErr w:type="spellEnd"/>
      <w:r w:rsidRPr="008E1D18">
        <w:rPr>
          <w:rFonts w:ascii="Times New Roman" w:eastAsia="Times New Roman" w:hAnsi="Times New Roman" w:cs="Times New Roman"/>
          <w:color w:val="414141"/>
          <w:sz w:val="24"/>
          <w:szCs w:val="24"/>
        </w:rPr>
        <w:t xml:space="preserve">, 2010). Equally, the Enron scandal in 2001 </w:t>
      </w:r>
      <w:proofErr w:type="gramStart"/>
      <w:r w:rsidRPr="008E1D18">
        <w:rPr>
          <w:rFonts w:ascii="Times New Roman" w:eastAsia="Times New Roman" w:hAnsi="Times New Roman" w:cs="Times New Roman"/>
          <w:color w:val="414141"/>
          <w:sz w:val="24"/>
          <w:szCs w:val="24"/>
        </w:rPr>
        <w:t>was characterized</w:t>
      </w:r>
      <w:proofErr w:type="gramEnd"/>
      <w:r w:rsidRPr="008E1D18">
        <w:rPr>
          <w:rFonts w:ascii="Times New Roman" w:eastAsia="Times New Roman" w:hAnsi="Times New Roman" w:cs="Times New Roman"/>
          <w:color w:val="414141"/>
          <w:sz w:val="24"/>
          <w:szCs w:val="24"/>
        </w:rPr>
        <w:t xml:space="preserve"> by falsification of the financial statement leading to excess capitalization of $60 million and a 70-time rise of the earning (ibid). The scandal adversely affected the investors’ confidence, which declined the share price for the other companies in the NY Stock Exchange. </w:t>
      </w:r>
    </w:p>
    <w:p w14:paraId="100FC4AC"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Therefore, two incidences in 2001 increased fear and uncertainty, which affected the denominator parameters in the Gordon Growth Model. For example, increased fear result in a downward revision of the growth prospect among the U.S companies and subsequent reduction of the projected dividend growth rate (g). Further, the uncertainty and low investor confidence increased the cost of capital due to a higher return on investment (</w:t>
      </w:r>
      <w:proofErr w:type="spellStart"/>
      <w:r w:rsidRPr="008E1D18">
        <w:rPr>
          <w:rFonts w:ascii="Times New Roman" w:eastAsia="Times New Roman" w:hAnsi="Times New Roman" w:cs="Times New Roman"/>
          <w:color w:val="414141"/>
          <w:sz w:val="24"/>
          <w:szCs w:val="24"/>
        </w:rPr>
        <w:t>ke</w:t>
      </w:r>
      <w:proofErr w:type="spellEnd"/>
      <w:r w:rsidRPr="008E1D18">
        <w:rPr>
          <w:rFonts w:ascii="Times New Roman" w:eastAsia="Times New Roman" w:hAnsi="Times New Roman" w:cs="Times New Roman"/>
          <w:color w:val="414141"/>
          <w:sz w:val="24"/>
          <w:szCs w:val="24"/>
        </w:rPr>
        <w:t xml:space="preserve">) expected by the shareholders. </w:t>
      </w:r>
    </w:p>
    <w:p w14:paraId="47F8C1E4" w14:textId="4B74ED71" w:rsidR="008E1D18" w:rsidRPr="00B635D8" w:rsidRDefault="00B635D8" w:rsidP="00B635D8">
      <w:pPr>
        <w:shd w:val="clear" w:color="auto" w:fill="FFFFFF"/>
        <w:spacing w:before="100" w:beforeAutospacing="1" w:after="100" w:afterAutospacing="1" w:line="480" w:lineRule="auto"/>
        <w:ind w:firstLine="720"/>
        <w:jc w:val="center"/>
        <w:rPr>
          <w:rFonts w:ascii="Times New Roman" w:eastAsia="Times New Roman" w:hAnsi="Times New Roman" w:cs="Times New Roman"/>
          <w:b/>
          <w:color w:val="414141"/>
          <w:sz w:val="24"/>
          <w:szCs w:val="24"/>
        </w:rPr>
      </w:pPr>
      <w:r>
        <w:rPr>
          <w:rFonts w:ascii="Times New Roman" w:eastAsia="Times New Roman" w:hAnsi="Times New Roman" w:cs="Times New Roman"/>
          <w:b/>
          <w:color w:val="414141"/>
          <w:sz w:val="24"/>
          <w:szCs w:val="24"/>
        </w:rPr>
        <w:t xml:space="preserve">Question 3: </w:t>
      </w:r>
      <w:r w:rsidR="008E1D18" w:rsidRPr="00B635D8">
        <w:rPr>
          <w:rFonts w:ascii="Times New Roman" w:eastAsia="Times New Roman" w:hAnsi="Times New Roman" w:cs="Times New Roman"/>
          <w:b/>
          <w:color w:val="414141"/>
          <w:sz w:val="24"/>
          <w:szCs w:val="24"/>
        </w:rPr>
        <w:t>Describe the sequence of events in a financial crisis and explain why they can cause economic activity to decline</w:t>
      </w:r>
    </w:p>
    <w:p w14:paraId="2D3325A4"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lastRenderedPageBreak/>
        <w:t xml:space="preserve">A financial crisis is a friction in the market system that halts the market operation because of the disruption in the information flow. The major causes of financial crises include banking disintegration, uncertainty, and deterioration in the asset market (Elliot, 2011). The notable events leading to the financial crunch of 2008 </w:t>
      </w:r>
      <w:proofErr w:type="gramStart"/>
      <w:r w:rsidRPr="008E1D18">
        <w:rPr>
          <w:rFonts w:ascii="Times New Roman" w:eastAsia="Times New Roman" w:hAnsi="Times New Roman" w:cs="Times New Roman"/>
          <w:color w:val="414141"/>
          <w:sz w:val="24"/>
          <w:szCs w:val="24"/>
        </w:rPr>
        <w:t>can be traced</w:t>
      </w:r>
      <w:proofErr w:type="gramEnd"/>
      <w:r w:rsidRPr="008E1D18">
        <w:rPr>
          <w:rFonts w:ascii="Times New Roman" w:eastAsia="Times New Roman" w:hAnsi="Times New Roman" w:cs="Times New Roman"/>
          <w:color w:val="414141"/>
          <w:sz w:val="24"/>
          <w:szCs w:val="24"/>
        </w:rPr>
        <w:t xml:space="preserve"> to include the housing crises to downgrade of debt status of the U.S. economy</w:t>
      </w:r>
    </w:p>
    <w:p w14:paraId="1E37C7F1"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 xml:space="preserve">First, 2007 housing crises escalate with the increased foreclosure of the sub-prime mortgages. Notably, the BNP Paribas announced it ceased operation in three hedge funds, which specialized in mortgage financing (Elliot, 2011). Other lenders followed suit including Freddie Mac, Bear Streams, and Fitch Rating, which liquidated as well as filing for bankruptcy. </w:t>
      </w:r>
    </w:p>
    <w:p w14:paraId="5CFE2757"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 xml:space="preserve">Second, in2008, the U.S. economy plundered into recession because of the spillover effect of the sub-prime mortgage crises affecting the rest of the economic sectors. The Federal Reserve and the Bank of America strived to guarantee other banks to hedge against collapse but to no avail (Elliot, 2011). The collapse of the Lehman Brothers escalated the uncertainty in the banking sector. </w:t>
      </w:r>
    </w:p>
    <w:p w14:paraId="1D3816B0" w14:textId="77777777" w:rsidR="008E1D18" w:rsidRPr="008E1D18"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Thirdly, during the winter of 2008-2009, concerted efforts by the newly formed G-20 organization of wealthy states to reduce the interest rate, introduce stimulus packages, and launch electronic money only resulted in the disintegration of the international cooperation with members focusing on individual agendas (Elliot, 2011).</w:t>
      </w:r>
    </w:p>
    <w:p w14:paraId="3FF5DF6D" w14:textId="0BCB2EDD" w:rsidR="008D4519" w:rsidRDefault="008E1D18" w:rsidP="008E1D18">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sidRPr="008E1D18">
        <w:rPr>
          <w:rFonts w:ascii="Times New Roman" w:eastAsia="Times New Roman" w:hAnsi="Times New Roman" w:cs="Times New Roman"/>
          <w:color w:val="414141"/>
          <w:sz w:val="24"/>
          <w:szCs w:val="24"/>
        </w:rPr>
        <w:t xml:space="preserve">The financial crisis of 2008 caused domestic and international economic failure because of linkages in the financial system. For example, the perceived financial innovation in the mortgage market led to the emergence of the ‘housing bubble’ that was manifested by the </w:t>
      </w:r>
      <w:r w:rsidRPr="008E1D18">
        <w:rPr>
          <w:rFonts w:ascii="Times New Roman" w:eastAsia="Times New Roman" w:hAnsi="Times New Roman" w:cs="Times New Roman"/>
          <w:color w:val="414141"/>
          <w:sz w:val="24"/>
          <w:szCs w:val="24"/>
        </w:rPr>
        <w:lastRenderedPageBreak/>
        <w:t>emergence of sub-prime and alternative A-mortgage product (Elliot, 2011). However, the mismanagement and escalating agency problem arose with borrowers exhibiting minimal incentive to disclose their ability to pay and rating agents failed to assess the quality of securities. Subsequently, the ‘housing-bubble’ had to burst resulting in panic.</w:t>
      </w:r>
    </w:p>
    <w:p w14:paraId="568935E2"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68E4FE68"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3400DDC8"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2049211E"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30883F1C"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75E9EC63"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2A1E7C4A"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6E92F321"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1686276F"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33A39D20"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26CF9943"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05376181"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38A45440" w14:textId="77777777" w:rsidR="008D4519" w:rsidRDefault="008D4519" w:rsidP="00E66902">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p>
    <w:p w14:paraId="023B41E0" w14:textId="7441D767" w:rsidR="00C90C2E" w:rsidRPr="001C24BB" w:rsidRDefault="001C24BB" w:rsidP="001C24BB">
      <w:pPr>
        <w:shd w:val="clear" w:color="auto" w:fill="FFFFFF"/>
        <w:spacing w:before="100" w:beforeAutospacing="1" w:after="100" w:afterAutospacing="1" w:line="480" w:lineRule="auto"/>
        <w:ind w:left="1020"/>
        <w:jc w:val="center"/>
        <w:rPr>
          <w:rFonts w:ascii="Times New Roman" w:eastAsia="Times New Roman" w:hAnsi="Times New Roman" w:cs="Times New Roman"/>
          <w:color w:val="414141"/>
          <w:sz w:val="24"/>
          <w:szCs w:val="24"/>
        </w:rPr>
      </w:pPr>
      <w:r w:rsidRPr="001C24BB">
        <w:rPr>
          <w:rFonts w:ascii="Times New Roman" w:eastAsia="Times New Roman" w:hAnsi="Times New Roman" w:cs="Times New Roman"/>
          <w:color w:val="414141"/>
          <w:sz w:val="24"/>
          <w:szCs w:val="24"/>
        </w:rPr>
        <w:lastRenderedPageBreak/>
        <w:t>References</w:t>
      </w:r>
    </w:p>
    <w:p w14:paraId="14A8F740" w14:textId="77777777" w:rsidR="006E7FA6" w:rsidRDefault="006E7FA6" w:rsidP="00B635D8">
      <w:pPr>
        <w:spacing w:line="480" w:lineRule="auto"/>
        <w:ind w:left="785" w:hangingChars="327" w:hanging="785"/>
        <w:rPr>
          <w:rFonts w:ascii="Times New Roman" w:hAnsi="Times New Roman" w:cs="Times New Roman"/>
          <w:i/>
          <w:sz w:val="24"/>
          <w:szCs w:val="24"/>
        </w:rPr>
      </w:pPr>
      <w:r>
        <w:rPr>
          <w:rFonts w:ascii="Times New Roman" w:hAnsi="Times New Roman" w:cs="Times New Roman"/>
          <w:sz w:val="24"/>
          <w:szCs w:val="24"/>
        </w:rPr>
        <w:t xml:space="preserve">Elliot, L. (August 11, 2011). </w:t>
      </w:r>
      <w:proofErr w:type="gramStart"/>
      <w:r>
        <w:rPr>
          <w:rFonts w:ascii="Times New Roman" w:hAnsi="Times New Roman" w:cs="Times New Roman"/>
          <w:sz w:val="24"/>
          <w:szCs w:val="24"/>
        </w:rPr>
        <w:t>“</w:t>
      </w:r>
      <w:r w:rsidRPr="00C1201A">
        <w:rPr>
          <w:rFonts w:ascii="Times New Roman" w:hAnsi="Times New Roman" w:cs="Times New Roman"/>
          <w:sz w:val="24"/>
          <w:szCs w:val="24"/>
        </w:rPr>
        <w:t>Global financial crisis: five key stages 2007-2011</w:t>
      </w:r>
      <w:r>
        <w:rPr>
          <w:rFonts w:ascii="Times New Roman" w:hAnsi="Times New Roman" w:cs="Times New Roman"/>
          <w:sz w:val="24"/>
          <w:szCs w:val="24"/>
        </w:rPr>
        <w:t xml:space="preserve">,” </w:t>
      </w:r>
      <w:r>
        <w:rPr>
          <w:rFonts w:ascii="Times New Roman" w:hAnsi="Times New Roman" w:cs="Times New Roman"/>
          <w:i/>
          <w:sz w:val="24"/>
          <w:szCs w:val="24"/>
        </w:rPr>
        <w:t>The Guardian.</w:t>
      </w:r>
      <w:proofErr w:type="gramEnd"/>
      <w:r>
        <w:rPr>
          <w:rFonts w:ascii="Times New Roman" w:hAnsi="Times New Roman" w:cs="Times New Roman"/>
          <w:i/>
          <w:sz w:val="24"/>
          <w:szCs w:val="24"/>
        </w:rPr>
        <w:t xml:space="preserve"> </w:t>
      </w:r>
      <w:r w:rsidRPr="006E7FA6">
        <w:rPr>
          <w:rFonts w:ascii="Times New Roman" w:hAnsi="Times New Roman" w:cs="Times New Roman"/>
          <w:sz w:val="24"/>
          <w:szCs w:val="24"/>
        </w:rPr>
        <w:t>Retrieved from</w:t>
      </w:r>
      <w:r w:rsidRPr="006E7FA6">
        <w:t xml:space="preserve"> </w:t>
      </w:r>
      <w:hyperlink r:id="rId8" w:history="1">
        <w:r w:rsidRPr="00496B75">
          <w:rPr>
            <w:rStyle w:val="Hyperlink"/>
            <w:rFonts w:ascii="Times New Roman" w:hAnsi="Times New Roman" w:cs="Times New Roman"/>
            <w:i/>
            <w:sz w:val="24"/>
            <w:szCs w:val="24"/>
          </w:rPr>
          <w:t>www.th</w:t>
        </w:r>
        <w:bookmarkStart w:id="0" w:name="_GoBack"/>
        <w:bookmarkEnd w:id="0"/>
        <w:r w:rsidRPr="00496B75">
          <w:rPr>
            <w:rStyle w:val="Hyperlink"/>
            <w:rFonts w:ascii="Times New Roman" w:hAnsi="Times New Roman" w:cs="Times New Roman"/>
            <w:i/>
            <w:sz w:val="24"/>
            <w:szCs w:val="24"/>
          </w:rPr>
          <w:t>eguardian.com/business/2011/aug/07/global-financial-crisis-key-stages</w:t>
        </w:r>
      </w:hyperlink>
      <w:r>
        <w:rPr>
          <w:rFonts w:ascii="Times New Roman" w:hAnsi="Times New Roman" w:cs="Times New Roman"/>
          <w:i/>
          <w:sz w:val="24"/>
          <w:szCs w:val="24"/>
        </w:rPr>
        <w:t xml:space="preserve"> </w:t>
      </w:r>
      <w:r w:rsidRPr="006E7FA6">
        <w:rPr>
          <w:rFonts w:ascii="Times New Roman" w:hAnsi="Times New Roman" w:cs="Times New Roman"/>
          <w:sz w:val="24"/>
          <w:szCs w:val="24"/>
        </w:rPr>
        <w:t>[Accessed September 09, 2018]</w:t>
      </w:r>
    </w:p>
    <w:p w14:paraId="31221DDB" w14:textId="77777777" w:rsidR="006E7FA6" w:rsidRPr="005955B1" w:rsidRDefault="006E7FA6" w:rsidP="00B635D8">
      <w:pPr>
        <w:spacing w:after="0" w:line="480" w:lineRule="auto"/>
        <w:ind w:left="785" w:hangingChars="327" w:hanging="785"/>
        <w:rPr>
          <w:rFonts w:ascii="Times New Roman" w:hAnsi="Times New Roman" w:cs="Times New Roman"/>
          <w:sz w:val="24"/>
          <w:szCs w:val="24"/>
        </w:rPr>
      </w:pPr>
      <w:r w:rsidRPr="005955B1">
        <w:rPr>
          <w:rFonts w:ascii="Times New Roman" w:hAnsi="Times New Roman" w:cs="Times New Roman"/>
          <w:sz w:val="24"/>
          <w:szCs w:val="24"/>
        </w:rPr>
        <w:t>Madura, J. (2012</w:t>
      </w:r>
      <w:r w:rsidRPr="005955B1">
        <w:rPr>
          <w:rFonts w:ascii="Times New Roman" w:hAnsi="Times New Roman" w:cs="Times New Roman"/>
          <w:i/>
          <w:sz w:val="24"/>
          <w:szCs w:val="24"/>
        </w:rPr>
        <w:t xml:space="preserve">). </w:t>
      </w:r>
      <w:proofErr w:type="gramStart"/>
      <w:r w:rsidRPr="005955B1">
        <w:rPr>
          <w:rFonts w:ascii="Times New Roman" w:hAnsi="Times New Roman" w:cs="Times New Roman"/>
          <w:i/>
          <w:sz w:val="24"/>
          <w:szCs w:val="24"/>
        </w:rPr>
        <w:t>Financial Markets and Institution</w:t>
      </w:r>
      <w:r w:rsidRPr="005955B1">
        <w:rPr>
          <w:rFonts w:ascii="Times New Roman" w:hAnsi="Times New Roman" w:cs="Times New Roman"/>
          <w:sz w:val="24"/>
          <w:szCs w:val="24"/>
        </w:rPr>
        <w:t xml:space="preserve"> (10</w:t>
      </w:r>
      <w:r w:rsidRPr="005955B1">
        <w:rPr>
          <w:rFonts w:ascii="Times New Roman" w:hAnsi="Times New Roman" w:cs="Times New Roman"/>
          <w:sz w:val="24"/>
          <w:szCs w:val="24"/>
          <w:vertAlign w:val="superscript"/>
        </w:rPr>
        <w:t>th</w:t>
      </w:r>
      <w:r w:rsidRPr="005955B1">
        <w:rPr>
          <w:rFonts w:ascii="Times New Roman" w:hAnsi="Times New Roman" w:cs="Times New Roman"/>
          <w:sz w:val="24"/>
          <w:szCs w:val="24"/>
        </w:rPr>
        <w:t xml:space="preserve"> Ed).</w:t>
      </w:r>
      <w:proofErr w:type="gramEnd"/>
      <w:r w:rsidRPr="005955B1">
        <w:rPr>
          <w:rFonts w:ascii="Times New Roman" w:hAnsi="Times New Roman" w:cs="Times New Roman"/>
          <w:sz w:val="24"/>
          <w:szCs w:val="24"/>
        </w:rPr>
        <w:t xml:space="preserve"> Thompson.</w:t>
      </w:r>
    </w:p>
    <w:p w14:paraId="04E0189A" w14:textId="77777777" w:rsidR="006E7FA6" w:rsidRPr="00683322" w:rsidRDefault="006E7FA6" w:rsidP="00B635D8">
      <w:pPr>
        <w:spacing w:line="480" w:lineRule="auto"/>
        <w:ind w:left="785" w:hangingChars="327" w:hanging="785"/>
        <w:rPr>
          <w:rFonts w:ascii="Times New Roman" w:hAnsi="Times New Roman" w:cs="Times New Roman"/>
          <w:i/>
          <w:sz w:val="24"/>
          <w:szCs w:val="24"/>
        </w:rPr>
      </w:pPr>
      <w:proofErr w:type="spellStart"/>
      <w:proofErr w:type="gramStart"/>
      <w:r>
        <w:rPr>
          <w:rStyle w:val="HTMLCite"/>
          <w:rFonts w:ascii="Times New Roman" w:hAnsi="Times New Roman" w:cs="Times New Roman"/>
          <w:i w:val="0"/>
          <w:sz w:val="24"/>
          <w:szCs w:val="24"/>
        </w:rPr>
        <w:t>Mishkin</w:t>
      </w:r>
      <w:proofErr w:type="spellEnd"/>
      <w:r>
        <w:rPr>
          <w:rStyle w:val="HTMLCite"/>
          <w:rFonts w:ascii="Times New Roman" w:hAnsi="Times New Roman" w:cs="Times New Roman"/>
          <w:i w:val="0"/>
          <w:sz w:val="24"/>
          <w:szCs w:val="24"/>
        </w:rPr>
        <w:t>, F. (2010).</w:t>
      </w:r>
      <w:proofErr w:type="gramEnd"/>
      <w:r>
        <w:rPr>
          <w:rStyle w:val="HTMLCite"/>
          <w:rFonts w:ascii="Times New Roman" w:hAnsi="Times New Roman" w:cs="Times New Roman"/>
          <w:i w:val="0"/>
          <w:sz w:val="24"/>
          <w:szCs w:val="24"/>
        </w:rPr>
        <w:t xml:space="preserve"> </w:t>
      </w:r>
      <w:r>
        <w:rPr>
          <w:rStyle w:val="HTMLCite"/>
          <w:rFonts w:ascii="Times New Roman" w:hAnsi="Times New Roman" w:cs="Times New Roman"/>
          <w:sz w:val="24"/>
          <w:szCs w:val="24"/>
        </w:rPr>
        <w:t xml:space="preserve">The stock market, </w:t>
      </w:r>
      <w:r w:rsidRPr="00683322">
        <w:rPr>
          <w:rStyle w:val="HTMLCite"/>
          <w:rFonts w:ascii="Times New Roman" w:hAnsi="Times New Roman" w:cs="Times New Roman"/>
          <w:i w:val="0"/>
          <w:sz w:val="24"/>
          <w:szCs w:val="24"/>
        </w:rPr>
        <w:t>(Second Edition),</w:t>
      </w:r>
      <w:r>
        <w:rPr>
          <w:rStyle w:val="HTMLCite"/>
          <w:rFonts w:ascii="Times New Roman" w:hAnsi="Times New Roman" w:cs="Times New Roman"/>
          <w:i w:val="0"/>
          <w:sz w:val="24"/>
          <w:szCs w:val="24"/>
        </w:rPr>
        <w:t xml:space="preserve"> Leigh, Iowa: Pearson Addison-Wesley</w:t>
      </w:r>
    </w:p>
    <w:p w14:paraId="241C8EB5" w14:textId="77777777" w:rsidR="006E7FA6" w:rsidRPr="005955B1" w:rsidRDefault="006E7FA6" w:rsidP="00B635D8">
      <w:pPr>
        <w:spacing w:after="0" w:line="480" w:lineRule="auto"/>
        <w:ind w:left="785" w:hangingChars="327" w:hanging="785"/>
        <w:rPr>
          <w:rFonts w:ascii="Times New Roman" w:hAnsi="Times New Roman" w:cs="Times New Roman"/>
          <w:sz w:val="24"/>
          <w:szCs w:val="24"/>
        </w:rPr>
      </w:pPr>
      <w:proofErr w:type="spellStart"/>
      <w:r w:rsidRPr="005955B1">
        <w:rPr>
          <w:rFonts w:ascii="Times New Roman" w:hAnsi="Times New Roman" w:cs="Times New Roman"/>
          <w:sz w:val="24"/>
          <w:szCs w:val="24"/>
        </w:rPr>
        <w:t>Sofat</w:t>
      </w:r>
      <w:proofErr w:type="spellEnd"/>
      <w:r w:rsidRPr="005955B1">
        <w:rPr>
          <w:rFonts w:ascii="Times New Roman" w:hAnsi="Times New Roman" w:cs="Times New Roman"/>
          <w:sz w:val="24"/>
          <w:szCs w:val="24"/>
        </w:rPr>
        <w:t xml:space="preserve">, R. (2016). </w:t>
      </w:r>
      <w:proofErr w:type="gramStart"/>
      <w:r w:rsidRPr="005955B1">
        <w:rPr>
          <w:rFonts w:ascii="Times New Roman" w:hAnsi="Times New Roman" w:cs="Times New Roman"/>
          <w:i/>
          <w:iCs/>
          <w:sz w:val="24"/>
          <w:szCs w:val="24"/>
        </w:rPr>
        <w:t>Strategic financial management</w:t>
      </w:r>
      <w:r w:rsidRPr="005955B1">
        <w:rPr>
          <w:rFonts w:ascii="Times New Roman" w:hAnsi="Times New Roman" w:cs="Times New Roman"/>
          <w:sz w:val="24"/>
          <w:szCs w:val="24"/>
        </w:rPr>
        <w:t>.</w:t>
      </w:r>
      <w:proofErr w:type="gramEnd"/>
      <w:r w:rsidRPr="005955B1">
        <w:rPr>
          <w:rFonts w:ascii="Times New Roman" w:hAnsi="Times New Roman" w:cs="Times New Roman"/>
          <w:sz w:val="24"/>
          <w:szCs w:val="24"/>
        </w:rPr>
        <w:t xml:space="preserve"> </w:t>
      </w:r>
      <w:proofErr w:type="gramStart"/>
      <w:r w:rsidRPr="005955B1">
        <w:rPr>
          <w:rFonts w:ascii="Times New Roman" w:hAnsi="Times New Roman" w:cs="Times New Roman"/>
          <w:sz w:val="24"/>
          <w:szCs w:val="24"/>
        </w:rPr>
        <w:t>New Delhi; Prentice-Hall.</w:t>
      </w:r>
      <w:proofErr w:type="gramEnd"/>
    </w:p>
    <w:p w14:paraId="1498E7C9" w14:textId="77777777" w:rsidR="006E7FA6" w:rsidRPr="006E7FA6" w:rsidRDefault="006E7FA6" w:rsidP="00C1201A">
      <w:pPr>
        <w:rPr>
          <w:rFonts w:ascii="Times New Roman" w:hAnsi="Times New Roman" w:cs="Times New Roman"/>
          <w:sz w:val="24"/>
          <w:szCs w:val="24"/>
        </w:rPr>
      </w:pPr>
    </w:p>
    <w:p w14:paraId="1551CBB8" w14:textId="4D87AF1B" w:rsidR="0030511A" w:rsidRPr="0030511A" w:rsidRDefault="0030511A" w:rsidP="0030511A">
      <w:pPr>
        <w:rPr>
          <w:rFonts w:ascii="Times New Roman" w:eastAsia="Times New Roman" w:hAnsi="Times New Roman" w:cs="Times New Roman"/>
          <w:b/>
          <w:color w:val="414141"/>
          <w:sz w:val="24"/>
          <w:szCs w:val="24"/>
        </w:rPr>
      </w:pPr>
    </w:p>
    <w:sectPr w:rsidR="0030511A" w:rsidRPr="0030511A" w:rsidSect="007B10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F2470F" w14:textId="77777777" w:rsidR="00500FB2" w:rsidRDefault="00500FB2" w:rsidP="007B1067">
      <w:pPr>
        <w:spacing w:after="0" w:line="240" w:lineRule="auto"/>
      </w:pPr>
      <w:r>
        <w:separator/>
      </w:r>
    </w:p>
  </w:endnote>
  <w:endnote w:type="continuationSeparator" w:id="0">
    <w:p w14:paraId="7ED4043D" w14:textId="77777777" w:rsidR="00500FB2" w:rsidRDefault="00500FB2" w:rsidP="007B1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A02B96" w14:textId="77777777" w:rsidR="00500FB2" w:rsidRDefault="00500FB2" w:rsidP="007B1067">
      <w:pPr>
        <w:spacing w:after="0" w:line="240" w:lineRule="auto"/>
      </w:pPr>
      <w:r>
        <w:separator/>
      </w:r>
    </w:p>
  </w:footnote>
  <w:footnote w:type="continuationSeparator" w:id="0">
    <w:p w14:paraId="0F49E82D" w14:textId="77777777" w:rsidR="00500FB2" w:rsidRDefault="00500FB2" w:rsidP="007B10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BAA8A3" w14:textId="7B4D6E30" w:rsidR="009F684B" w:rsidRDefault="009F684B">
    <w:pPr>
      <w:pStyle w:val="Header"/>
    </w:pPr>
    <w:r w:rsidRPr="0046661F">
      <w:rPr>
        <w:rFonts w:ascii="Times New Roman" w:hAnsi="Times New Roman" w:cs="Times New Roman"/>
        <w:sz w:val="24"/>
        <w:szCs w:val="24"/>
      </w:rPr>
      <w:t>CAPITAL MARKET SECURITIES AND FINANCIAL CRISES</w:t>
    </w:r>
    <w:r>
      <w:rPr>
        <w:rFonts w:ascii="Times New Roman" w:hAnsi="Times New Roman" w:cs="Times New Roman"/>
        <w:sz w:val="24"/>
        <w:szCs w:val="24"/>
      </w:rPr>
      <w:tab/>
    </w:r>
    <w:r>
      <w:rPr>
        <w:rFonts w:ascii="Times New Roman" w:hAnsi="Times New Roman" w:cs="Times New Roman"/>
        <w:sz w:val="24"/>
        <w:szCs w:val="24"/>
      </w:rPr>
      <w:tab/>
    </w:r>
    <w:r w:rsidRPr="009F684B">
      <w:rPr>
        <w:rFonts w:ascii="Times New Roman" w:hAnsi="Times New Roman" w:cs="Times New Roman"/>
        <w:sz w:val="24"/>
        <w:szCs w:val="24"/>
      </w:rPr>
      <w:fldChar w:fldCharType="begin"/>
    </w:r>
    <w:r w:rsidRPr="009F684B">
      <w:rPr>
        <w:rFonts w:ascii="Times New Roman" w:hAnsi="Times New Roman" w:cs="Times New Roman"/>
        <w:sz w:val="24"/>
        <w:szCs w:val="24"/>
      </w:rPr>
      <w:instrText xml:space="preserve"> PAGE   \* MERGEFORMAT </w:instrText>
    </w:r>
    <w:r w:rsidRPr="009F684B">
      <w:rPr>
        <w:rFonts w:ascii="Times New Roman" w:hAnsi="Times New Roman" w:cs="Times New Roman"/>
        <w:sz w:val="24"/>
        <w:szCs w:val="24"/>
      </w:rPr>
      <w:fldChar w:fldCharType="separate"/>
    </w:r>
    <w:r w:rsidR="00B635D8">
      <w:rPr>
        <w:rFonts w:ascii="Times New Roman" w:hAnsi="Times New Roman" w:cs="Times New Roman"/>
        <w:noProof/>
        <w:sz w:val="24"/>
        <w:szCs w:val="24"/>
      </w:rPr>
      <w:t>7</w:t>
    </w:r>
    <w:r w:rsidRPr="009F684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DDBB9C" w14:textId="493CAAED" w:rsidR="007B1067" w:rsidRPr="0046661F" w:rsidRDefault="007B1067">
    <w:pPr>
      <w:pStyle w:val="Header"/>
      <w:rPr>
        <w:rFonts w:ascii="Times New Roman" w:hAnsi="Times New Roman" w:cs="Times New Roman"/>
        <w:sz w:val="24"/>
        <w:szCs w:val="24"/>
      </w:rPr>
    </w:pPr>
    <w:r w:rsidRPr="0046661F">
      <w:rPr>
        <w:rFonts w:ascii="Times New Roman" w:hAnsi="Times New Roman" w:cs="Times New Roman"/>
        <w:sz w:val="24"/>
        <w:szCs w:val="24"/>
      </w:rPr>
      <w:t xml:space="preserve">Running Head: </w:t>
    </w:r>
    <w:r w:rsidR="0046661F" w:rsidRPr="0046661F">
      <w:rPr>
        <w:rFonts w:ascii="Times New Roman" w:hAnsi="Times New Roman" w:cs="Times New Roman"/>
        <w:sz w:val="24"/>
        <w:szCs w:val="24"/>
      </w:rPr>
      <w:t>CAPITAL MARKET SECURITIES AND FINANCIAL CRISES</w:t>
    </w:r>
    <w:r w:rsidR="0046661F">
      <w:rPr>
        <w:rFonts w:ascii="Times New Roman" w:hAnsi="Times New Roman" w:cs="Times New Roman"/>
        <w:sz w:val="24"/>
        <w:szCs w:val="24"/>
      </w:rPr>
      <w:tab/>
    </w:r>
    <w:r w:rsidR="0046661F">
      <w:rPr>
        <w:rFonts w:ascii="Times New Roman" w:hAnsi="Times New Roman" w:cs="Times New Roman"/>
        <w:sz w:val="24"/>
        <w:szCs w:val="24"/>
      </w:rPr>
      <w:tab/>
    </w:r>
    <w:r w:rsidRPr="0046661F">
      <w:rPr>
        <w:rFonts w:ascii="Times New Roman" w:hAnsi="Times New Roman" w:cs="Times New Roman"/>
        <w:sz w:val="24"/>
        <w:szCs w:val="24"/>
      </w:rPr>
      <w:fldChar w:fldCharType="begin"/>
    </w:r>
    <w:r w:rsidRPr="0046661F">
      <w:rPr>
        <w:rFonts w:ascii="Times New Roman" w:hAnsi="Times New Roman" w:cs="Times New Roman"/>
        <w:sz w:val="24"/>
        <w:szCs w:val="24"/>
      </w:rPr>
      <w:instrText xml:space="preserve"> PAGE   \* MERGEFORMAT </w:instrText>
    </w:r>
    <w:r w:rsidRPr="0046661F">
      <w:rPr>
        <w:rFonts w:ascii="Times New Roman" w:hAnsi="Times New Roman" w:cs="Times New Roman"/>
        <w:sz w:val="24"/>
        <w:szCs w:val="24"/>
      </w:rPr>
      <w:fldChar w:fldCharType="separate"/>
    </w:r>
    <w:r w:rsidR="001C6F02">
      <w:rPr>
        <w:rFonts w:ascii="Times New Roman" w:hAnsi="Times New Roman" w:cs="Times New Roman"/>
        <w:noProof/>
        <w:sz w:val="24"/>
        <w:szCs w:val="24"/>
      </w:rPr>
      <w:t>1</w:t>
    </w:r>
    <w:r w:rsidRPr="0046661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11349"/>
    <w:multiLevelType w:val="multilevel"/>
    <w:tmpl w:val="27881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AwNTM2NDUztzC2NLNQ0lEKTi0uzszPAykwrAUAiwYc6ywAAAA="/>
  </w:docVars>
  <w:rsids>
    <w:rsidRoot w:val="0039048B"/>
    <w:rsid w:val="00020FDD"/>
    <w:rsid w:val="00030BD1"/>
    <w:rsid w:val="000313D0"/>
    <w:rsid w:val="000C7271"/>
    <w:rsid w:val="00121B50"/>
    <w:rsid w:val="001367B2"/>
    <w:rsid w:val="00136B7A"/>
    <w:rsid w:val="0014499D"/>
    <w:rsid w:val="001820EE"/>
    <w:rsid w:val="001C24BB"/>
    <w:rsid w:val="001C6F02"/>
    <w:rsid w:val="001E17BA"/>
    <w:rsid w:val="00206B6B"/>
    <w:rsid w:val="00214AB9"/>
    <w:rsid w:val="00273677"/>
    <w:rsid w:val="00284200"/>
    <w:rsid w:val="002862C7"/>
    <w:rsid w:val="002929AD"/>
    <w:rsid w:val="002A1AAC"/>
    <w:rsid w:val="002C582C"/>
    <w:rsid w:val="002E0973"/>
    <w:rsid w:val="002E6B67"/>
    <w:rsid w:val="0030511A"/>
    <w:rsid w:val="00310092"/>
    <w:rsid w:val="00326000"/>
    <w:rsid w:val="003268F7"/>
    <w:rsid w:val="00332075"/>
    <w:rsid w:val="00350363"/>
    <w:rsid w:val="003660BD"/>
    <w:rsid w:val="0038342A"/>
    <w:rsid w:val="0038412E"/>
    <w:rsid w:val="0039048B"/>
    <w:rsid w:val="003B021A"/>
    <w:rsid w:val="003B3C5C"/>
    <w:rsid w:val="003C5AE0"/>
    <w:rsid w:val="003D6130"/>
    <w:rsid w:val="003E20ED"/>
    <w:rsid w:val="003F3604"/>
    <w:rsid w:val="003F6745"/>
    <w:rsid w:val="0046661F"/>
    <w:rsid w:val="00467A8C"/>
    <w:rsid w:val="00500FB2"/>
    <w:rsid w:val="00511F13"/>
    <w:rsid w:val="00525714"/>
    <w:rsid w:val="0056010F"/>
    <w:rsid w:val="00561B5C"/>
    <w:rsid w:val="00580AF1"/>
    <w:rsid w:val="00597405"/>
    <w:rsid w:val="005B2D68"/>
    <w:rsid w:val="005C43CE"/>
    <w:rsid w:val="005D0FBB"/>
    <w:rsid w:val="00622F11"/>
    <w:rsid w:val="00625F3D"/>
    <w:rsid w:val="006411B4"/>
    <w:rsid w:val="00660A61"/>
    <w:rsid w:val="00683322"/>
    <w:rsid w:val="006D5411"/>
    <w:rsid w:val="006E7FA6"/>
    <w:rsid w:val="00741811"/>
    <w:rsid w:val="00791F71"/>
    <w:rsid w:val="007B1067"/>
    <w:rsid w:val="007C7206"/>
    <w:rsid w:val="007D7CBD"/>
    <w:rsid w:val="00825459"/>
    <w:rsid w:val="008334D1"/>
    <w:rsid w:val="008474B2"/>
    <w:rsid w:val="00895040"/>
    <w:rsid w:val="008969EF"/>
    <w:rsid w:val="008D4519"/>
    <w:rsid w:val="008D4821"/>
    <w:rsid w:val="008E1D18"/>
    <w:rsid w:val="008E41D6"/>
    <w:rsid w:val="008F2E6F"/>
    <w:rsid w:val="00904458"/>
    <w:rsid w:val="009B08A0"/>
    <w:rsid w:val="009B2EE0"/>
    <w:rsid w:val="009B5BA8"/>
    <w:rsid w:val="009D6905"/>
    <w:rsid w:val="009E6B5A"/>
    <w:rsid w:val="009F4E6C"/>
    <w:rsid w:val="009F684B"/>
    <w:rsid w:val="00A03D4A"/>
    <w:rsid w:val="00A15D18"/>
    <w:rsid w:val="00A2729C"/>
    <w:rsid w:val="00A32DD0"/>
    <w:rsid w:val="00A521E0"/>
    <w:rsid w:val="00A75426"/>
    <w:rsid w:val="00A94117"/>
    <w:rsid w:val="00AC1910"/>
    <w:rsid w:val="00AE059D"/>
    <w:rsid w:val="00AE4082"/>
    <w:rsid w:val="00B02C84"/>
    <w:rsid w:val="00B43E4E"/>
    <w:rsid w:val="00B635D8"/>
    <w:rsid w:val="00B63B3D"/>
    <w:rsid w:val="00BB182B"/>
    <w:rsid w:val="00BE406B"/>
    <w:rsid w:val="00C1201A"/>
    <w:rsid w:val="00C90C2E"/>
    <w:rsid w:val="00C97D6B"/>
    <w:rsid w:val="00CE74DE"/>
    <w:rsid w:val="00CF3CE0"/>
    <w:rsid w:val="00D02379"/>
    <w:rsid w:val="00D1412E"/>
    <w:rsid w:val="00D57E49"/>
    <w:rsid w:val="00D96F41"/>
    <w:rsid w:val="00E15E03"/>
    <w:rsid w:val="00E66902"/>
    <w:rsid w:val="00E95B27"/>
    <w:rsid w:val="00EA36DB"/>
    <w:rsid w:val="00F139C2"/>
    <w:rsid w:val="00F22EAA"/>
    <w:rsid w:val="00F27E67"/>
    <w:rsid w:val="00F413B7"/>
    <w:rsid w:val="00F8152C"/>
    <w:rsid w:val="00F95DF5"/>
    <w:rsid w:val="00FC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511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4">
    <w:name w:val="heading 4"/>
    <w:basedOn w:val="Normal"/>
    <w:link w:val="Heading4Char"/>
    <w:uiPriority w:val="9"/>
    <w:qFormat/>
    <w:rsid w:val="003904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9048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904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048B"/>
    <w:rPr>
      <w:b/>
      <w:bCs/>
    </w:rPr>
  </w:style>
  <w:style w:type="paragraph" w:styleId="Header">
    <w:name w:val="header"/>
    <w:basedOn w:val="Normal"/>
    <w:link w:val="HeaderChar"/>
    <w:uiPriority w:val="99"/>
    <w:unhideWhenUsed/>
    <w:rsid w:val="007B1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067"/>
  </w:style>
  <w:style w:type="paragraph" w:styleId="Footer">
    <w:name w:val="footer"/>
    <w:basedOn w:val="Normal"/>
    <w:link w:val="FooterChar"/>
    <w:uiPriority w:val="99"/>
    <w:unhideWhenUsed/>
    <w:rsid w:val="007B10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067"/>
  </w:style>
  <w:style w:type="character" w:styleId="PlaceholderText">
    <w:name w:val="Placeholder Text"/>
    <w:basedOn w:val="DefaultParagraphFont"/>
    <w:uiPriority w:val="99"/>
    <w:semiHidden/>
    <w:rsid w:val="007C7206"/>
    <w:rPr>
      <w:color w:val="808080"/>
    </w:rPr>
  </w:style>
  <w:style w:type="paragraph" w:styleId="BalloonText">
    <w:name w:val="Balloon Text"/>
    <w:basedOn w:val="Normal"/>
    <w:link w:val="BalloonTextChar"/>
    <w:uiPriority w:val="99"/>
    <w:semiHidden/>
    <w:unhideWhenUsed/>
    <w:rsid w:val="007C72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7206"/>
    <w:rPr>
      <w:rFonts w:ascii="Tahoma" w:hAnsi="Tahoma" w:cs="Tahoma"/>
      <w:sz w:val="16"/>
      <w:szCs w:val="16"/>
    </w:rPr>
  </w:style>
  <w:style w:type="character" w:customStyle="1" w:styleId="Heading1Char">
    <w:name w:val="Heading 1 Char"/>
    <w:basedOn w:val="DefaultParagraphFont"/>
    <w:link w:val="Heading1"/>
    <w:uiPriority w:val="9"/>
    <w:rsid w:val="0030511A"/>
    <w:rPr>
      <w:rFonts w:asciiTheme="majorHAnsi" w:eastAsiaTheme="majorEastAsia" w:hAnsiTheme="majorHAnsi" w:cstheme="majorBidi"/>
      <w:b/>
      <w:bCs/>
      <w:color w:val="2F5496" w:themeColor="accent1" w:themeShade="BF"/>
      <w:sz w:val="28"/>
      <w:szCs w:val="28"/>
    </w:rPr>
  </w:style>
  <w:style w:type="character" w:styleId="HTMLCite">
    <w:name w:val="HTML Cite"/>
    <w:basedOn w:val="DefaultParagraphFont"/>
    <w:uiPriority w:val="99"/>
    <w:semiHidden/>
    <w:unhideWhenUsed/>
    <w:rsid w:val="0030511A"/>
    <w:rPr>
      <w:i/>
      <w:iCs/>
    </w:rPr>
  </w:style>
  <w:style w:type="character" w:styleId="Hyperlink">
    <w:name w:val="Hyperlink"/>
    <w:basedOn w:val="DefaultParagraphFont"/>
    <w:uiPriority w:val="99"/>
    <w:unhideWhenUsed/>
    <w:rsid w:val="001C24B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511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4">
    <w:name w:val="heading 4"/>
    <w:basedOn w:val="Normal"/>
    <w:link w:val="Heading4Char"/>
    <w:uiPriority w:val="9"/>
    <w:qFormat/>
    <w:rsid w:val="003904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9048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904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048B"/>
    <w:rPr>
      <w:b/>
      <w:bCs/>
    </w:rPr>
  </w:style>
  <w:style w:type="paragraph" w:styleId="Header">
    <w:name w:val="header"/>
    <w:basedOn w:val="Normal"/>
    <w:link w:val="HeaderChar"/>
    <w:uiPriority w:val="99"/>
    <w:unhideWhenUsed/>
    <w:rsid w:val="007B1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067"/>
  </w:style>
  <w:style w:type="paragraph" w:styleId="Footer">
    <w:name w:val="footer"/>
    <w:basedOn w:val="Normal"/>
    <w:link w:val="FooterChar"/>
    <w:uiPriority w:val="99"/>
    <w:unhideWhenUsed/>
    <w:rsid w:val="007B10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067"/>
  </w:style>
  <w:style w:type="character" w:styleId="PlaceholderText">
    <w:name w:val="Placeholder Text"/>
    <w:basedOn w:val="DefaultParagraphFont"/>
    <w:uiPriority w:val="99"/>
    <w:semiHidden/>
    <w:rsid w:val="007C7206"/>
    <w:rPr>
      <w:color w:val="808080"/>
    </w:rPr>
  </w:style>
  <w:style w:type="paragraph" w:styleId="BalloonText">
    <w:name w:val="Balloon Text"/>
    <w:basedOn w:val="Normal"/>
    <w:link w:val="BalloonTextChar"/>
    <w:uiPriority w:val="99"/>
    <w:semiHidden/>
    <w:unhideWhenUsed/>
    <w:rsid w:val="007C72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7206"/>
    <w:rPr>
      <w:rFonts w:ascii="Tahoma" w:hAnsi="Tahoma" w:cs="Tahoma"/>
      <w:sz w:val="16"/>
      <w:szCs w:val="16"/>
    </w:rPr>
  </w:style>
  <w:style w:type="character" w:customStyle="1" w:styleId="Heading1Char">
    <w:name w:val="Heading 1 Char"/>
    <w:basedOn w:val="DefaultParagraphFont"/>
    <w:link w:val="Heading1"/>
    <w:uiPriority w:val="9"/>
    <w:rsid w:val="0030511A"/>
    <w:rPr>
      <w:rFonts w:asciiTheme="majorHAnsi" w:eastAsiaTheme="majorEastAsia" w:hAnsiTheme="majorHAnsi" w:cstheme="majorBidi"/>
      <w:b/>
      <w:bCs/>
      <w:color w:val="2F5496" w:themeColor="accent1" w:themeShade="BF"/>
      <w:sz w:val="28"/>
      <w:szCs w:val="28"/>
    </w:rPr>
  </w:style>
  <w:style w:type="character" w:styleId="HTMLCite">
    <w:name w:val="HTML Cite"/>
    <w:basedOn w:val="DefaultParagraphFont"/>
    <w:uiPriority w:val="99"/>
    <w:semiHidden/>
    <w:unhideWhenUsed/>
    <w:rsid w:val="0030511A"/>
    <w:rPr>
      <w:i/>
      <w:iCs/>
    </w:rPr>
  </w:style>
  <w:style w:type="character" w:styleId="Hyperlink">
    <w:name w:val="Hyperlink"/>
    <w:basedOn w:val="DefaultParagraphFont"/>
    <w:uiPriority w:val="99"/>
    <w:unhideWhenUsed/>
    <w:rsid w:val="001C24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792176">
      <w:bodyDiv w:val="1"/>
      <w:marLeft w:val="0"/>
      <w:marRight w:val="0"/>
      <w:marTop w:val="0"/>
      <w:marBottom w:val="0"/>
      <w:divBdr>
        <w:top w:val="none" w:sz="0" w:space="0" w:color="auto"/>
        <w:left w:val="none" w:sz="0" w:space="0" w:color="auto"/>
        <w:bottom w:val="none" w:sz="0" w:space="0" w:color="auto"/>
        <w:right w:val="none" w:sz="0" w:space="0" w:color="auto"/>
      </w:divBdr>
    </w:div>
    <w:div w:id="736169456">
      <w:bodyDiv w:val="1"/>
      <w:marLeft w:val="0"/>
      <w:marRight w:val="0"/>
      <w:marTop w:val="0"/>
      <w:marBottom w:val="0"/>
      <w:divBdr>
        <w:top w:val="none" w:sz="0" w:space="0" w:color="auto"/>
        <w:left w:val="none" w:sz="0" w:space="0" w:color="auto"/>
        <w:bottom w:val="none" w:sz="0" w:space="0" w:color="auto"/>
        <w:right w:val="none" w:sz="0" w:space="0" w:color="auto"/>
      </w:divBdr>
      <w:divsChild>
        <w:div w:id="286663947">
          <w:marLeft w:val="0"/>
          <w:marRight w:val="0"/>
          <w:marTop w:val="120"/>
          <w:marBottom w:val="120"/>
          <w:divBdr>
            <w:top w:val="none" w:sz="0" w:space="0" w:color="auto"/>
            <w:left w:val="none" w:sz="0" w:space="0" w:color="auto"/>
            <w:bottom w:val="none" w:sz="0" w:space="0" w:color="auto"/>
            <w:right w:val="none" w:sz="0" w:space="0" w:color="auto"/>
          </w:divBdr>
          <w:divsChild>
            <w:div w:id="80381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9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guardian.com/business/2011/aug/07/global-financial-crisis-key-stage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2018-09-08T04:59:00Z</dcterms:created>
  <dcterms:modified xsi:type="dcterms:W3CDTF">2018-09-09T10:40:00Z</dcterms:modified>
</cp:coreProperties>
</file>